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Look w:val="04A0" w:firstRow="1" w:lastRow="0" w:firstColumn="1" w:lastColumn="0" w:noHBand="0" w:noVBand="1"/>
      </w:tblPr>
      <w:tblGrid>
        <w:gridCol w:w="4262"/>
        <w:gridCol w:w="5762"/>
      </w:tblGrid>
      <w:tr w:rsidR="00A343E1" w:rsidTr="00A343E1">
        <w:tc>
          <w:tcPr>
            <w:tcW w:w="4262" w:type="dxa"/>
            <w:hideMark/>
          </w:tcPr>
          <w:p w:rsidR="00A343E1" w:rsidRDefault="00A343E1">
            <w:r>
              <w:t xml:space="preserve">        HỘI CCB VIỆT NAM</w:t>
            </w:r>
          </w:p>
          <w:p w:rsidR="00A343E1" w:rsidRDefault="00A343E1">
            <w:pPr>
              <w:rPr>
                <w:b/>
                <w:bCs/>
                <w:sz w:val="28"/>
                <w:szCs w:val="28"/>
              </w:rPr>
            </w:pPr>
            <w:r>
              <w:rPr>
                <w:b/>
              </w:rPr>
              <w:t xml:space="preserve"> HỘI CCB TỈNH CAO BẰNG</w:t>
            </w:r>
          </w:p>
          <w:p w:rsidR="00A343E1" w:rsidRDefault="00A343E1">
            <w:r>
              <w:rPr>
                <w:noProof/>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20955</wp:posOffset>
                      </wp:positionV>
                      <wp:extent cx="1191260" cy="0"/>
                      <wp:effectExtent l="6985"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65pt" to="13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A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ltl4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"/>
                  </w:pict>
                </mc:Fallback>
              </mc:AlternateContent>
            </w:r>
            <w:r>
              <w:t xml:space="preserve">    </w:t>
            </w:r>
          </w:p>
          <w:p w:rsidR="00A343E1" w:rsidRDefault="00A343E1">
            <w:r>
              <w:t xml:space="preserve">          Số: </w:t>
            </w:r>
            <w:r>
              <w:rPr>
                <w:b/>
              </w:rPr>
              <w:t xml:space="preserve"> </w:t>
            </w:r>
            <w:r>
              <w:t>361/KH – CCB</w:t>
            </w:r>
          </w:p>
        </w:tc>
        <w:tc>
          <w:tcPr>
            <w:tcW w:w="5762" w:type="dxa"/>
          </w:tcPr>
          <w:p w:rsidR="00A343E1" w:rsidRDefault="00A343E1">
            <w:pPr>
              <w:jc w:val="center"/>
              <w:rPr>
                <w:b/>
                <w:bCs/>
                <w:szCs w:val="26"/>
              </w:rPr>
            </w:pPr>
            <w:r>
              <w:rPr>
                <w:b/>
                <w:bCs/>
                <w:szCs w:val="26"/>
              </w:rPr>
              <w:t>CỘNG HÒA XÃ HỘI CHỦ NGHĨA VIỆT NAM</w:t>
            </w:r>
          </w:p>
          <w:p w:rsidR="00A343E1" w:rsidRDefault="00A343E1">
            <w:pPr>
              <w:jc w:val="center"/>
              <w:rPr>
                <w:b/>
                <w:bCs/>
                <w:sz w:val="28"/>
                <w:szCs w:val="28"/>
              </w:rPr>
            </w:pPr>
            <w:r>
              <w:rPr>
                <w:b/>
                <w:bCs/>
                <w:szCs w:val="26"/>
              </w:rPr>
              <w:t>Độc lập - Tự do - Hạnh phúc</w:t>
            </w:r>
          </w:p>
          <w:p w:rsidR="00A343E1" w:rsidRDefault="00A343E1">
            <w:pPr>
              <w:jc w:val="center"/>
              <w:rPr>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782320</wp:posOffset>
                      </wp:positionH>
                      <wp:positionV relativeFrom="paragraph">
                        <wp:posOffset>26035</wp:posOffset>
                      </wp:positionV>
                      <wp:extent cx="1871980" cy="0"/>
                      <wp:effectExtent l="1079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05pt" to="2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"/>
                  </w:pict>
                </mc:Fallback>
              </mc:AlternateContent>
            </w:r>
          </w:p>
          <w:p w:rsidR="00A343E1" w:rsidRDefault="00A343E1">
            <w:pPr>
              <w:jc w:val="center"/>
              <w:rPr>
                <w:i/>
                <w:iCs/>
                <w:szCs w:val="26"/>
              </w:rPr>
            </w:pPr>
            <w:r>
              <w:rPr>
                <w:i/>
                <w:iCs/>
                <w:szCs w:val="26"/>
              </w:rPr>
              <w:t>Cao Bằng, ngày  11  tháng 02 năm 2020</w:t>
            </w:r>
          </w:p>
        </w:tc>
      </w:tr>
    </w:tbl>
    <w:p w:rsidR="00A343E1" w:rsidRDefault="00A343E1" w:rsidP="00A343E1">
      <w:pPr>
        <w:spacing w:after="120"/>
      </w:pPr>
      <w:r>
        <w:t xml:space="preserve">        </w:t>
      </w:r>
    </w:p>
    <w:p w:rsidR="00A343E1" w:rsidRDefault="00A343E1" w:rsidP="00A343E1">
      <w:pPr>
        <w:jc w:val="center"/>
        <w:rPr>
          <w:b/>
          <w:sz w:val="28"/>
          <w:szCs w:val="28"/>
        </w:rPr>
      </w:pPr>
      <w:r>
        <w:rPr>
          <w:b/>
          <w:sz w:val="28"/>
          <w:szCs w:val="28"/>
        </w:rPr>
        <w:t>KẾ HOẠCH</w:t>
      </w:r>
    </w:p>
    <w:p w:rsidR="00A343E1" w:rsidRDefault="00A343E1" w:rsidP="00A343E1">
      <w:pPr>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2355850</wp:posOffset>
                </wp:positionH>
                <wp:positionV relativeFrom="paragraph">
                  <wp:posOffset>224790</wp:posOffset>
                </wp:positionV>
                <wp:extent cx="1155700" cy="0"/>
                <wp:effectExtent l="1270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7.7pt" to="27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"/>
            </w:pict>
          </mc:Fallback>
        </mc:AlternateContent>
      </w:r>
      <w:r>
        <w:rPr>
          <w:b/>
          <w:sz w:val="28"/>
          <w:szCs w:val="28"/>
        </w:rPr>
        <w:t>Công tác phổ biến, giáo dục pháp luật năm 2020</w:t>
      </w:r>
    </w:p>
    <w:p w:rsidR="00A343E1" w:rsidRDefault="00A343E1" w:rsidP="00A343E1">
      <w:pPr>
        <w:spacing w:after="120"/>
        <w:jc w:val="both"/>
        <w:rPr>
          <w:sz w:val="28"/>
          <w:szCs w:val="28"/>
        </w:rPr>
      </w:pPr>
      <w:r>
        <w:rPr>
          <w:sz w:val="28"/>
          <w:szCs w:val="28"/>
        </w:rPr>
        <w:tab/>
      </w:r>
    </w:p>
    <w:p w:rsidR="00A343E1" w:rsidRDefault="00A343E1" w:rsidP="00A343E1">
      <w:pPr>
        <w:spacing w:after="120"/>
        <w:ind w:firstLine="720"/>
        <w:jc w:val="both"/>
        <w:rPr>
          <w:sz w:val="28"/>
          <w:szCs w:val="28"/>
        </w:rPr>
      </w:pPr>
      <w:r>
        <w:rPr>
          <w:sz w:val="28"/>
          <w:szCs w:val="28"/>
        </w:rPr>
        <w:t>Thực hiện kế hoạch số 170/KH- CCB, ngày 15/01/2020 của Trung ương Hội CCB Việt Nam về Công tác phổ biến, giáo dục pháp luật năm 2020; nhằm triển khai có hiệu quả công tác tuyên truyền, phổ biến, giáo dục pháp luật đến các cơ quan, đơn vị ở các cấp Hội. Thường trực Hội CCB tỉnh Cao Bằng ban hành Kế hoạch Công tác phổ biến, giáo dục pháp luật năm 2020 như sau:</w:t>
      </w:r>
    </w:p>
    <w:p w:rsidR="00A343E1" w:rsidRDefault="00A343E1" w:rsidP="00A343E1">
      <w:pPr>
        <w:spacing w:after="120"/>
        <w:jc w:val="both"/>
        <w:rPr>
          <w:b/>
          <w:sz w:val="28"/>
          <w:szCs w:val="28"/>
        </w:rPr>
      </w:pPr>
      <w:r>
        <w:rPr>
          <w:b/>
          <w:sz w:val="28"/>
          <w:szCs w:val="28"/>
        </w:rPr>
        <w:tab/>
        <w:t>I. MỤC ĐÍCH, YÊU CẦU</w:t>
      </w:r>
    </w:p>
    <w:p w:rsidR="00A343E1" w:rsidRDefault="00A343E1" w:rsidP="00A343E1">
      <w:pPr>
        <w:spacing w:after="120"/>
        <w:jc w:val="both"/>
        <w:rPr>
          <w:b/>
          <w:sz w:val="28"/>
          <w:szCs w:val="28"/>
        </w:rPr>
      </w:pPr>
      <w:r>
        <w:rPr>
          <w:b/>
          <w:sz w:val="28"/>
          <w:szCs w:val="28"/>
        </w:rPr>
        <w:tab/>
        <w:t>1. Mục đích</w:t>
      </w:r>
    </w:p>
    <w:p w:rsidR="00A343E1" w:rsidRDefault="00A343E1" w:rsidP="00A343E1">
      <w:pPr>
        <w:spacing w:after="120"/>
        <w:jc w:val="both"/>
        <w:rPr>
          <w:sz w:val="28"/>
          <w:szCs w:val="28"/>
        </w:rPr>
      </w:pPr>
      <w:r>
        <w:rPr>
          <w:sz w:val="28"/>
          <w:szCs w:val="28"/>
        </w:rPr>
        <w:tab/>
        <w:t>- Tiếp tục nâng cao chất lượng, hiệu quả công tác phổ biến, giáo dục pháp luật (PBGDPL), bảo đảm gắn kết chặt chẽ với xây dựng, thi hành và bảo vệ pháp luật tại từng cấp Hội Cựu chiến binh (CCB).</w:t>
      </w:r>
    </w:p>
    <w:p w:rsidR="00A343E1" w:rsidRDefault="00A343E1" w:rsidP="00A343E1">
      <w:pPr>
        <w:spacing w:after="120"/>
        <w:jc w:val="both"/>
        <w:rPr>
          <w:sz w:val="28"/>
          <w:szCs w:val="28"/>
        </w:rPr>
      </w:pPr>
      <w:r>
        <w:rPr>
          <w:sz w:val="28"/>
          <w:szCs w:val="28"/>
        </w:rPr>
        <w:tab/>
        <w:t>- Gắn công tác tổ chức thực hiện PBGDPL với sự kiện chính trị đặc biệt của Đảng, Nhà nước năm 2020, như: Đại hội Đảng các cấp, tiến tới Đại hội đại biểu toàn quốc lần thứ XIII của Đảng; kỷ niệm các ngày lễ lớn của đất nước: 90 năm Ngày thành lập Đảng (03/02/1930-03/02/2020); 130 năm Ngày sinh Chủ tịch Hồ Chí Minh (19/5/1890- 19/5/2020); 75 năm Ngày Quốc khánh (02/9/1945- 02/9/2020) và các sự kiện: Việt Nam đảm nhiệm vai trò Chủ tịch Hiệp hội các quốc gia Đông Nam Á (ASEAN), Hội CCB Việt Nam đảm nhiệm chức Chủ tịch Liên đoàn CCB các nước ASEAN (VECONAC).</w:t>
      </w:r>
    </w:p>
    <w:p w:rsidR="00A343E1" w:rsidRDefault="00A343E1" w:rsidP="00A343E1">
      <w:pPr>
        <w:spacing w:after="120"/>
        <w:jc w:val="both"/>
        <w:rPr>
          <w:b/>
          <w:sz w:val="28"/>
          <w:szCs w:val="28"/>
        </w:rPr>
      </w:pPr>
      <w:r>
        <w:rPr>
          <w:b/>
          <w:sz w:val="28"/>
          <w:szCs w:val="28"/>
        </w:rPr>
        <w:tab/>
        <w:t>2. Yêu cầu</w:t>
      </w:r>
    </w:p>
    <w:p w:rsidR="00A343E1" w:rsidRDefault="00A343E1" w:rsidP="00A343E1">
      <w:pPr>
        <w:spacing w:after="120"/>
        <w:jc w:val="both"/>
        <w:rPr>
          <w:sz w:val="28"/>
          <w:szCs w:val="28"/>
        </w:rPr>
      </w:pPr>
      <w:r>
        <w:rPr>
          <w:sz w:val="28"/>
          <w:szCs w:val="28"/>
        </w:rPr>
        <w:tab/>
        <w:t>- Quán triệt thực hiện đầy đủ chủ trương, quan điểm, mục tiêu, yêu cầu của Đảng, Nhà nước về PBGDPL. Đảm bảo công tác PBGDPL thiết thực, tránh phô trương, hình thức; đồng bộ có trọng tâm, đa dạng về phương thức, đảm bảo hiệu quả và phù hợp với từng cấp Hội.</w:t>
      </w:r>
    </w:p>
    <w:p w:rsidR="00A343E1" w:rsidRDefault="00A343E1" w:rsidP="00A343E1">
      <w:pPr>
        <w:spacing w:after="120"/>
        <w:jc w:val="both"/>
        <w:rPr>
          <w:sz w:val="28"/>
          <w:szCs w:val="28"/>
        </w:rPr>
      </w:pPr>
      <w:r>
        <w:rPr>
          <w:sz w:val="28"/>
          <w:szCs w:val="28"/>
        </w:rPr>
        <w:tab/>
        <w:t>- Xác định nội dung công tác PBGDPL phải gắn với trách nhiệm và phát huy vai trò chủ động, tích cực của lãnh đạo các cấp Hội, của cơ quan tham mưu; phối hợp chặt chẽ với cơ quan tư pháp, tuyên giáo, chính quyền địa phương, Mặt trận Tổ quốc và các đoàn thể chính trị- xã hội cùng cấp.</w:t>
      </w:r>
    </w:p>
    <w:p w:rsidR="00A343E1" w:rsidRDefault="00A343E1" w:rsidP="00A343E1">
      <w:pPr>
        <w:spacing w:after="120"/>
        <w:jc w:val="both"/>
        <w:rPr>
          <w:sz w:val="28"/>
          <w:szCs w:val="28"/>
        </w:rPr>
      </w:pPr>
      <w:r>
        <w:rPr>
          <w:sz w:val="28"/>
          <w:szCs w:val="28"/>
        </w:rPr>
        <w:tab/>
        <w:t xml:space="preserve">- Phát huy hiệu quả các mô hình, nhóm, tổ, đội, câu lạc bộ pháp luật CCB…Gắn công tác PBGDPL với thực hiện cuộc vận động “CCB Việt Nam tham gia giữ gìn trật tự an toàn giao thông”, chương trình phòng chống tội phạm và mại dâm, ma túy, các </w:t>
      </w:r>
      <w:r>
        <w:rPr>
          <w:sz w:val="28"/>
          <w:szCs w:val="28"/>
        </w:rPr>
        <w:lastRenderedPageBreak/>
        <w:t>phong trào thi đua “CCB gương mẫu”; phong trào toàn dân đoàn kết “Xây dựng nông thôn mới, đô thị văn minh”; “CCB giúp nhau giảm nghèo làm kinh tế giỏi”,...tại các cấp Hội. Kịp thời biểu dương các tổ chức, cá nhân có thành tích trong công tác PBGDPL; đồng thời khắc phục những thiếu sót trong quá trình tổ chức, triển khai thực hiện.</w:t>
      </w:r>
    </w:p>
    <w:p w:rsidR="00A343E1" w:rsidRDefault="00A343E1" w:rsidP="00A343E1">
      <w:pPr>
        <w:spacing w:after="120"/>
        <w:jc w:val="both"/>
        <w:rPr>
          <w:b/>
          <w:sz w:val="28"/>
          <w:szCs w:val="28"/>
        </w:rPr>
      </w:pPr>
      <w:r>
        <w:rPr>
          <w:b/>
          <w:sz w:val="28"/>
          <w:szCs w:val="28"/>
        </w:rPr>
        <w:tab/>
        <w:t>II. NHIỆM VỤ, HOẠT ĐỘNG TRỌNG TÂM</w:t>
      </w:r>
    </w:p>
    <w:p w:rsidR="00A343E1" w:rsidRDefault="00A343E1" w:rsidP="00A343E1">
      <w:pPr>
        <w:spacing w:after="120"/>
        <w:jc w:val="both"/>
        <w:rPr>
          <w:b/>
          <w:sz w:val="28"/>
          <w:szCs w:val="28"/>
        </w:rPr>
      </w:pPr>
      <w:r>
        <w:rPr>
          <w:b/>
          <w:sz w:val="28"/>
          <w:szCs w:val="28"/>
        </w:rPr>
        <w:tab/>
        <w:t>1. Tăng cường chỉ đạo, hướng dẫn nghiệp vụ, sơ-tổng kết, kiểm tra công tác PBGDPL, hòa giải ở cơ sở.</w:t>
      </w:r>
    </w:p>
    <w:p w:rsidR="00A343E1" w:rsidRDefault="00A343E1" w:rsidP="00A343E1">
      <w:pPr>
        <w:spacing w:after="120"/>
        <w:jc w:val="both"/>
        <w:rPr>
          <w:sz w:val="28"/>
          <w:szCs w:val="28"/>
        </w:rPr>
      </w:pPr>
      <w:r>
        <w:rPr>
          <w:b/>
          <w:sz w:val="28"/>
          <w:szCs w:val="28"/>
        </w:rPr>
        <w:tab/>
      </w:r>
      <w:r>
        <w:rPr>
          <w:sz w:val="28"/>
          <w:szCs w:val="28"/>
        </w:rPr>
        <w:t>- Tuyên truyền PBGDPL, trợ giúp pháp lý đối với CCB nhằm trăng cường sự phối hợp giữa Hội CCB với cơ quan tư pháp cùng cấp trong công tác PBGDPL.</w:t>
      </w:r>
    </w:p>
    <w:p w:rsidR="00A343E1" w:rsidRDefault="00A343E1" w:rsidP="00A343E1">
      <w:pPr>
        <w:spacing w:after="120"/>
        <w:jc w:val="both"/>
        <w:rPr>
          <w:sz w:val="28"/>
          <w:szCs w:val="28"/>
        </w:rPr>
      </w:pPr>
      <w:r>
        <w:rPr>
          <w:sz w:val="28"/>
          <w:szCs w:val="28"/>
        </w:rPr>
        <w:tab/>
        <w:t>- Ban CTXD Hội tham mưu cho Thường trực Hội CCB tỉnh ban hành Kế hoạch Công tác PBGDPL năm 2020, Kế hoạch Kiểm tra công tác PBGDPL, hòa giải ở cơ sở trong tổ chức Hội, hướng dẫn tuyên truyền, phổ biến, giáo dục các văn bản quy phạm pháp luật mới được Quốc hội thông qua.</w:t>
      </w:r>
    </w:p>
    <w:p w:rsidR="00A343E1" w:rsidRDefault="00A343E1" w:rsidP="00A343E1">
      <w:pPr>
        <w:spacing w:after="120"/>
        <w:jc w:val="both"/>
        <w:rPr>
          <w:sz w:val="28"/>
          <w:szCs w:val="28"/>
        </w:rPr>
      </w:pPr>
      <w:r>
        <w:rPr>
          <w:sz w:val="28"/>
          <w:szCs w:val="28"/>
        </w:rPr>
        <w:tab/>
        <w:t>- Sơ - tổng kết việc thực thi các nghị quyết, văn bản quy phạm pháp luật, các chương trình theo chỉ đạo, hướng dẫn của cơ quan có thẩm quyền.</w:t>
      </w:r>
    </w:p>
    <w:p w:rsidR="00A343E1" w:rsidRDefault="00A343E1" w:rsidP="00A343E1">
      <w:pPr>
        <w:spacing w:after="120"/>
        <w:jc w:val="both"/>
        <w:rPr>
          <w:b/>
          <w:sz w:val="28"/>
          <w:szCs w:val="28"/>
        </w:rPr>
      </w:pPr>
      <w:r>
        <w:rPr>
          <w:b/>
          <w:sz w:val="28"/>
          <w:szCs w:val="28"/>
        </w:rPr>
        <w:tab/>
        <w:t>2. Nội dung phổ biến, giáo dục pháp luật</w:t>
      </w:r>
    </w:p>
    <w:p w:rsidR="00A343E1" w:rsidRDefault="00A343E1" w:rsidP="00A343E1">
      <w:pPr>
        <w:spacing w:after="120"/>
        <w:jc w:val="both"/>
        <w:rPr>
          <w:sz w:val="28"/>
          <w:szCs w:val="28"/>
        </w:rPr>
      </w:pPr>
      <w:r>
        <w:rPr>
          <w:sz w:val="28"/>
          <w:szCs w:val="28"/>
        </w:rPr>
        <w:tab/>
        <w:t>2.1. Thực hiện tuyên truyền, phổ biến, giáo dục pháp luật được hướng dẫn trong Kế hoạch PBGDPL; hòa giải ở cơ sở, xây dựng và thực hiện hương ước, quy ước năm 2020 của Bộ Tư pháp (ban hành kèm theo Quyết định số 3195/QĐ-BTP ngày 30/9/2019 của Bộ trưởng Bộ Tư pháp); các văn bản theo hướng dẫn của Hội đồng Phối hợp PBGDPL của địa phương. Trong đó cần tập trung vào một số nội dung sau:</w:t>
      </w:r>
    </w:p>
    <w:p w:rsidR="00A343E1" w:rsidRDefault="00A343E1" w:rsidP="00A343E1">
      <w:pPr>
        <w:spacing w:after="120"/>
        <w:jc w:val="both"/>
        <w:rPr>
          <w:sz w:val="28"/>
          <w:szCs w:val="28"/>
        </w:rPr>
      </w:pPr>
      <w:r>
        <w:rPr>
          <w:sz w:val="28"/>
          <w:szCs w:val="28"/>
        </w:rPr>
        <w:tab/>
        <w:t>- Các văn bản pháp luật được Quốc hội thông qua tại kỳ họp thứ 8 (khóa XIV) gồm 11 luật: Bộ luật Lao động; Luật Lực lượng dự bị động viên; Luật Thư viện; Luật Dân quân tự vệ; Luật Xuất cảnh, nhập cảnh của công dân Việt Nam; Luật chứng khoán; Luật sửa đổi, bổ sung một số điều của Luật Nhập cảnh, xuất cảnh, quá cảnh, cư trú của người nước ngoài tại Việt Nam; luật sủa đổi bổ sung một số điều của Luật Kiểm toán nhà nước; Luật sửa đổi, bổ sung một số điều của Luật Tổ chức chính quyền địa phương; Luật sủa đổi, bổ sung Điều 3 của Luật Quản lý, sử dụng vũ khí, vật liệu nổ và công cụ hỗ trợ; Luật sủa đổi, bổ sung một số điều của Luật Cán bộ, công chức và Luật viên chức năm 2019, đặc biệt là Luật phòng, chống tác hại của rượu, bia và các văn bản hướng dẫn việc thực hiện của Chính phủ.</w:t>
      </w:r>
    </w:p>
    <w:p w:rsidR="00A343E1" w:rsidRDefault="00A343E1" w:rsidP="00A343E1">
      <w:pPr>
        <w:spacing w:after="120"/>
        <w:jc w:val="both"/>
        <w:rPr>
          <w:sz w:val="28"/>
          <w:szCs w:val="28"/>
        </w:rPr>
      </w:pPr>
      <w:r>
        <w:rPr>
          <w:sz w:val="28"/>
          <w:szCs w:val="28"/>
        </w:rPr>
        <w:tab/>
        <w:t>- Quán triệt đầy đủ, thực hiện nghiêm túc Chỉ thị số 40-CT/TW ngày 10/12/2019 của Ban Bí thư (khóa XII) về việc tổ chức Tết năm 2020, Chỉ thị số 33/CT-TTg ngày 19/12/2019 của Thủ tướng Chính phủ về việc tăng cường các biện pháp bảo đảm đón Tết Nguyên đán Canh Tý vui tươi, lành mạnh, an toàn, tiết kiệm.</w:t>
      </w:r>
    </w:p>
    <w:p w:rsidR="00A343E1" w:rsidRDefault="00A343E1" w:rsidP="00A343E1">
      <w:pPr>
        <w:spacing w:after="120"/>
        <w:jc w:val="both"/>
        <w:rPr>
          <w:sz w:val="28"/>
          <w:szCs w:val="28"/>
        </w:rPr>
      </w:pPr>
      <w:r>
        <w:rPr>
          <w:sz w:val="28"/>
          <w:szCs w:val="28"/>
        </w:rPr>
        <w:tab/>
        <w:t>- Thực hiện có chất lượng, hiệu quả công tác PBGDPL, hòa giải ở cơ sở, xây dựng cấp xã đạt chuẩn tiếp cận pháp luật theo Chỉ thị mới thay thế Chỉ thị số 32-</w:t>
      </w:r>
      <w:r>
        <w:rPr>
          <w:sz w:val="28"/>
          <w:szCs w:val="28"/>
        </w:rPr>
        <w:lastRenderedPageBreak/>
        <w:t>CT/TW (sau khi được ban hành), Luật PBGDPL, Luật Tiếp cận thông tin, Luật Hòa giải ở cơ sở và các văn bản hướng dẫn thi hành, các Quyết định của Thủ tướng Chính phủ về PBGDPL, xây dựng cấp xã đạt chuẩn tiếp cận pháp luật.</w:t>
      </w:r>
    </w:p>
    <w:p w:rsidR="00A343E1" w:rsidRDefault="00A343E1" w:rsidP="00A343E1">
      <w:pPr>
        <w:spacing w:after="120"/>
        <w:jc w:val="both"/>
        <w:rPr>
          <w:sz w:val="28"/>
          <w:szCs w:val="28"/>
        </w:rPr>
      </w:pPr>
      <w:r>
        <w:rPr>
          <w:sz w:val="28"/>
          <w:szCs w:val="28"/>
        </w:rPr>
        <w:tab/>
        <w:t>- Phối hợp và tham gia thực hiện có hiệu quả các nhiệm vụ Chương trình PBGDPL giai đoạn 2017-2021, các Đề án và Chương trình phối hợp về PBGDPL mà Hội CCB được phân công.</w:t>
      </w:r>
    </w:p>
    <w:p w:rsidR="00A343E1" w:rsidRDefault="00A343E1" w:rsidP="00A343E1">
      <w:pPr>
        <w:spacing w:after="120"/>
        <w:jc w:val="both"/>
        <w:rPr>
          <w:sz w:val="28"/>
          <w:szCs w:val="28"/>
        </w:rPr>
      </w:pPr>
      <w:r>
        <w:rPr>
          <w:sz w:val="28"/>
          <w:szCs w:val="28"/>
        </w:rPr>
        <w:tab/>
        <w:t>2.2. Tổ chức triển khai thực hiện hưởng ứng “Ngày Pháp luật Việt Nam” năm 2020 có chiều sâu, thiết thực gắn với thực hiện nhiệm vụ trọng tâm của các cấp Hội.</w:t>
      </w:r>
    </w:p>
    <w:p w:rsidR="00A343E1" w:rsidRDefault="00A343E1" w:rsidP="00A343E1">
      <w:pPr>
        <w:spacing w:after="120"/>
        <w:jc w:val="both"/>
        <w:rPr>
          <w:b/>
          <w:sz w:val="28"/>
          <w:szCs w:val="28"/>
        </w:rPr>
      </w:pPr>
      <w:r>
        <w:rPr>
          <w:b/>
          <w:sz w:val="28"/>
          <w:szCs w:val="28"/>
        </w:rPr>
        <w:tab/>
        <w:t>3. Truyên truyền, phổ biến Pháp lệnh CCB và các văn bản quy phạm pháp luật liên quan đến CCB .</w:t>
      </w:r>
    </w:p>
    <w:p w:rsidR="00A343E1" w:rsidRDefault="00A343E1" w:rsidP="00A343E1">
      <w:pPr>
        <w:spacing w:after="120"/>
        <w:jc w:val="both"/>
        <w:rPr>
          <w:sz w:val="28"/>
          <w:szCs w:val="28"/>
        </w:rPr>
      </w:pPr>
      <w:r>
        <w:rPr>
          <w:sz w:val="28"/>
          <w:szCs w:val="28"/>
        </w:rPr>
        <w:tab/>
        <w:t>- Tiếp tục truyên truyền sâu, rộng, cụ thể Pháp lệnh CCB đến từng hội viên Hội CCB các cấp. Tập trung quán triệt, triển khai thực hiện Nghị định số 157/2016/NĐ-CP ngày 24/11/2016 của Chính phủ sửa đổi, bổ sung Nghị định số 150/2016/NĐ-CP ngày 12/12/2016 quy định chi tiết và hướng dẫn thi hành một số điều Pháp lệnh CCB; các văn bản hướng dẫn thi hành của các cơ quan có thẩm quyền liên quan đến CCB.</w:t>
      </w:r>
    </w:p>
    <w:p w:rsidR="00A343E1" w:rsidRDefault="00A343E1" w:rsidP="00A343E1">
      <w:pPr>
        <w:spacing w:after="120"/>
        <w:jc w:val="both"/>
        <w:rPr>
          <w:sz w:val="28"/>
          <w:szCs w:val="28"/>
        </w:rPr>
      </w:pPr>
      <w:r>
        <w:rPr>
          <w:sz w:val="28"/>
          <w:szCs w:val="28"/>
        </w:rPr>
        <w:tab/>
        <w:t>- Kết hợp trong quá trình giám sát của các cấp Hội để truyên truyền, PBGDPL các văn bản pháp luật  về CCB cho các đối tượng được giám sát.</w:t>
      </w:r>
    </w:p>
    <w:p w:rsidR="00A343E1" w:rsidRDefault="00A343E1" w:rsidP="00A343E1">
      <w:pPr>
        <w:spacing w:after="120"/>
        <w:jc w:val="both"/>
        <w:rPr>
          <w:b/>
          <w:sz w:val="28"/>
          <w:szCs w:val="28"/>
        </w:rPr>
      </w:pPr>
      <w:r>
        <w:rPr>
          <w:b/>
          <w:sz w:val="28"/>
          <w:szCs w:val="28"/>
        </w:rPr>
        <w:tab/>
        <w:t>4. Về hòa giải ở cơ sở</w:t>
      </w:r>
    </w:p>
    <w:p w:rsidR="00A343E1" w:rsidRDefault="00A343E1" w:rsidP="00A343E1">
      <w:pPr>
        <w:spacing w:after="120"/>
        <w:jc w:val="both"/>
        <w:rPr>
          <w:sz w:val="28"/>
          <w:szCs w:val="28"/>
        </w:rPr>
      </w:pPr>
      <w:r>
        <w:rPr>
          <w:sz w:val="28"/>
          <w:szCs w:val="28"/>
        </w:rPr>
        <w:tab/>
        <w:t>- Phối hợp với mặt trận Tổ quốc, các tổ chức thành viên Mặt trận Tổ quốc và cơ quan tư pháp cùng cấp tham gia thực hiện tốt công tác hòa giải ở cơ sở.</w:t>
      </w:r>
    </w:p>
    <w:p w:rsidR="00A343E1" w:rsidRDefault="00A343E1" w:rsidP="00A343E1">
      <w:pPr>
        <w:spacing w:after="120"/>
        <w:jc w:val="both"/>
        <w:rPr>
          <w:sz w:val="28"/>
          <w:szCs w:val="28"/>
        </w:rPr>
      </w:pPr>
      <w:r>
        <w:rPr>
          <w:sz w:val="28"/>
          <w:szCs w:val="28"/>
        </w:rPr>
        <w:tab/>
        <w:t>- Phối hợp với các cơ quan Tư pháp và Mặt trận Tổ quốc ở cơ sở để kiện toàn, nâng cao năng lực, kỹ năng, nghiệp vụ cho đội ngũ hòa giải viên  là CCB gắn với triển khai Đề án “Nâng cao năng lực đội ngũ hòa giải viên ở cơ sở giai đoạn 2019-2022” và chương trình Bồi dưỡng kiến thức pháp luật, kỹ năng hòa giải ở cơ sở cho hòa giải viên (ban hành kèm theo Quyết định số 4077/QĐ-BTP ngày 31/12/2014 của Bộ Tư pháp).</w:t>
      </w:r>
    </w:p>
    <w:p w:rsidR="00A343E1" w:rsidRDefault="00A343E1" w:rsidP="00A343E1">
      <w:pPr>
        <w:spacing w:after="120"/>
        <w:jc w:val="both"/>
        <w:rPr>
          <w:b/>
          <w:sz w:val="28"/>
          <w:szCs w:val="28"/>
        </w:rPr>
      </w:pPr>
      <w:r>
        <w:rPr>
          <w:b/>
          <w:sz w:val="28"/>
          <w:szCs w:val="28"/>
        </w:rPr>
        <w:tab/>
        <w:t>5. Xây dựng, quản lý khai thác Tủ sách pháp luật</w:t>
      </w:r>
    </w:p>
    <w:p w:rsidR="00A343E1" w:rsidRDefault="00A343E1" w:rsidP="00A343E1">
      <w:pPr>
        <w:spacing w:after="120"/>
        <w:jc w:val="both"/>
        <w:rPr>
          <w:sz w:val="28"/>
          <w:szCs w:val="28"/>
        </w:rPr>
      </w:pPr>
      <w:r>
        <w:rPr>
          <w:sz w:val="28"/>
          <w:szCs w:val="28"/>
        </w:rPr>
        <w:tab/>
        <w:t>- Vận động CCB, hội viên CCB tham gia xây dựng Tủ sách pháp luật; chỉ đạo, quản lý và phối hợp với cơ quan Tư pháp cùng cấp hướng dẫn việc xây dựng, quản lý, khai thác Tủ sách pháp luật do tổ chức Hội quản lý; thường xuyên kiểm tra, quản lý, phát huy hiệu quả Tủ sách pháp luật.</w:t>
      </w:r>
    </w:p>
    <w:p w:rsidR="00A343E1" w:rsidRDefault="00A343E1" w:rsidP="00A343E1">
      <w:pPr>
        <w:spacing w:after="120"/>
        <w:jc w:val="both"/>
        <w:rPr>
          <w:sz w:val="28"/>
          <w:szCs w:val="28"/>
        </w:rPr>
      </w:pPr>
      <w:r>
        <w:rPr>
          <w:sz w:val="28"/>
          <w:szCs w:val="28"/>
        </w:rPr>
        <w:tab/>
        <w:t>Đối với các cấp Hội, khi xây dựng Tủ sách pháp luật, cần thực hiện đúng quy định tại Quyết định số 06/2010/QĐ- TTg ngày 25/01/2010 của Thủ tướng |Chính phủ về xây dựng, quản lý, khai thác Tủ sách pháp luật.</w:t>
      </w:r>
    </w:p>
    <w:p w:rsidR="00A343E1" w:rsidRDefault="00A343E1" w:rsidP="00A343E1">
      <w:pPr>
        <w:spacing w:after="120"/>
        <w:jc w:val="both"/>
        <w:rPr>
          <w:b/>
          <w:sz w:val="28"/>
          <w:szCs w:val="28"/>
        </w:rPr>
      </w:pPr>
      <w:r>
        <w:rPr>
          <w:b/>
          <w:sz w:val="28"/>
          <w:szCs w:val="28"/>
        </w:rPr>
        <w:tab/>
        <w:t>6. Tiếp tục kiện toàn, củng cố cán bộ thực hiện công tác phổ biến, giáo dục pháp luật.</w:t>
      </w:r>
    </w:p>
    <w:p w:rsidR="00A343E1" w:rsidRDefault="00A343E1" w:rsidP="00A343E1">
      <w:pPr>
        <w:spacing w:after="120"/>
        <w:jc w:val="both"/>
        <w:rPr>
          <w:sz w:val="28"/>
          <w:szCs w:val="28"/>
        </w:rPr>
      </w:pPr>
      <w:r>
        <w:rPr>
          <w:sz w:val="28"/>
          <w:szCs w:val="28"/>
        </w:rPr>
        <w:lastRenderedPageBreak/>
        <w:tab/>
        <w:t>- Thường xuyên rà soát, kiện toàn báo cáo viên thực hiện công tác PBGDPL; củng cố, nâng cao chất lượng nguồn nhân lực làm công tác PBGDPL (lựa chọn người có trình độ pháp luật, tăng cường cơ sở vật chất…)</w:t>
      </w:r>
    </w:p>
    <w:p w:rsidR="00A343E1" w:rsidRDefault="00A343E1" w:rsidP="00A343E1">
      <w:pPr>
        <w:spacing w:after="120"/>
        <w:jc w:val="both"/>
        <w:rPr>
          <w:sz w:val="28"/>
          <w:szCs w:val="28"/>
        </w:rPr>
      </w:pPr>
      <w:r>
        <w:rPr>
          <w:sz w:val="28"/>
          <w:szCs w:val="28"/>
        </w:rPr>
        <w:tab/>
        <w:t>- Căn cứ vào tình hình thực tế của địa phương, các huyện, thành phố tổ chức   tập huấn công tác PBGDPL, hòa giải ở cơ sở cho cán bộ hoặc phối hợp với cơ quan, ban, ngành địa phương để bồi dưỡng nâng cao kiến thức, năng lực trong triển khai, thực hiện công tác PBGDPL, hòa giải ở cơ sở.</w:t>
      </w:r>
    </w:p>
    <w:p w:rsidR="00A343E1" w:rsidRDefault="00A343E1" w:rsidP="00A343E1">
      <w:pPr>
        <w:spacing w:after="120"/>
        <w:jc w:val="both"/>
        <w:rPr>
          <w:b/>
          <w:sz w:val="28"/>
          <w:szCs w:val="28"/>
        </w:rPr>
      </w:pPr>
      <w:r>
        <w:rPr>
          <w:b/>
          <w:sz w:val="28"/>
          <w:szCs w:val="28"/>
        </w:rPr>
        <w:tab/>
        <w:t>7. Công tác kiểm tra và tự kiểm tra</w:t>
      </w:r>
    </w:p>
    <w:p w:rsidR="00A343E1" w:rsidRDefault="00A343E1" w:rsidP="00A343E1">
      <w:pPr>
        <w:spacing w:after="120"/>
        <w:jc w:val="both"/>
        <w:rPr>
          <w:sz w:val="28"/>
          <w:szCs w:val="28"/>
        </w:rPr>
      </w:pPr>
      <w:r>
        <w:rPr>
          <w:sz w:val="28"/>
          <w:szCs w:val="28"/>
        </w:rPr>
        <w:tab/>
        <w:t>Các cấp Hội tự kiểm tra công tác PBGDPL và báo cáo về Hội CCB tỉnh (qua Ban CTXD Hội)</w:t>
      </w:r>
    </w:p>
    <w:p w:rsidR="00A343E1" w:rsidRDefault="00A343E1" w:rsidP="00A343E1">
      <w:pPr>
        <w:spacing w:after="120"/>
        <w:jc w:val="both"/>
        <w:rPr>
          <w:sz w:val="28"/>
          <w:szCs w:val="28"/>
        </w:rPr>
      </w:pPr>
      <w:r>
        <w:rPr>
          <w:b/>
          <w:sz w:val="28"/>
          <w:szCs w:val="28"/>
        </w:rPr>
        <w:tab/>
        <w:t>III. TỔ CHỨC THỰC HIỆN</w:t>
      </w:r>
    </w:p>
    <w:p w:rsidR="00A343E1" w:rsidRDefault="00A343E1" w:rsidP="00A343E1">
      <w:pPr>
        <w:spacing w:after="120"/>
        <w:jc w:val="both"/>
        <w:rPr>
          <w:b/>
          <w:sz w:val="28"/>
          <w:szCs w:val="28"/>
        </w:rPr>
      </w:pPr>
      <w:r>
        <w:rPr>
          <w:b/>
          <w:sz w:val="28"/>
          <w:szCs w:val="28"/>
        </w:rPr>
        <w:tab/>
        <w:t>1. Ban Công tác xây dựng Hội</w:t>
      </w:r>
      <w:r>
        <w:rPr>
          <w:b/>
          <w:sz w:val="28"/>
          <w:szCs w:val="28"/>
        </w:rPr>
        <w:tab/>
      </w:r>
      <w:r>
        <w:rPr>
          <w:b/>
          <w:sz w:val="28"/>
          <w:szCs w:val="28"/>
        </w:rPr>
        <w:tab/>
      </w:r>
      <w:r>
        <w:rPr>
          <w:b/>
          <w:sz w:val="28"/>
          <w:szCs w:val="28"/>
        </w:rPr>
        <w:tab/>
      </w:r>
    </w:p>
    <w:p w:rsidR="00A343E1" w:rsidRDefault="00A343E1" w:rsidP="00A343E1">
      <w:pPr>
        <w:spacing w:after="120"/>
        <w:jc w:val="both"/>
        <w:rPr>
          <w:sz w:val="28"/>
          <w:szCs w:val="28"/>
        </w:rPr>
      </w:pPr>
      <w:r>
        <w:rPr>
          <w:sz w:val="28"/>
          <w:szCs w:val="28"/>
        </w:rPr>
        <w:tab/>
        <w:t>Có trách nhiệm xây dựng, ban hành kế hoạch, hướng dẫn, theo dõi, đôn đốc, kiểm tra việc thực hiện kế hoạch của các cấp Hội;</w:t>
      </w:r>
    </w:p>
    <w:p w:rsidR="00A343E1" w:rsidRDefault="00A343E1" w:rsidP="00A343E1">
      <w:pPr>
        <w:spacing w:after="120"/>
        <w:jc w:val="both"/>
        <w:rPr>
          <w:b/>
          <w:sz w:val="28"/>
          <w:szCs w:val="28"/>
        </w:rPr>
      </w:pPr>
      <w:r>
        <w:rPr>
          <w:b/>
          <w:sz w:val="28"/>
          <w:szCs w:val="28"/>
        </w:rPr>
        <w:tab/>
        <w:t>2. Hội CCB các huyện, thành phố, khối 487</w:t>
      </w:r>
    </w:p>
    <w:p w:rsidR="00A343E1" w:rsidRDefault="00A343E1" w:rsidP="00A343E1">
      <w:pPr>
        <w:spacing w:after="120"/>
        <w:jc w:val="both"/>
        <w:rPr>
          <w:sz w:val="28"/>
          <w:szCs w:val="28"/>
        </w:rPr>
      </w:pPr>
      <w:r>
        <w:rPr>
          <w:sz w:val="28"/>
          <w:szCs w:val="28"/>
        </w:rPr>
        <w:tab/>
        <w:t xml:space="preserve"> Căn cứ Kế hoạch này, Thường trực Hội CCB các cấp trong phạm vi chức năng, nhiệm vụ, quyền hạn được giao, xây dựng Kế hoạch chi tiết thực hiện Công tác phổ biến, giáo dục pháp luật; hòa giải ở cơ sở năm 2020 phù hợp với điều kiện và tình hình thực tiễn của địa phương mình.</w:t>
      </w:r>
    </w:p>
    <w:p w:rsidR="00A343E1" w:rsidRDefault="00A343E1" w:rsidP="00A343E1">
      <w:pPr>
        <w:spacing w:after="120"/>
        <w:jc w:val="both"/>
        <w:rPr>
          <w:b/>
          <w:sz w:val="28"/>
          <w:szCs w:val="28"/>
        </w:rPr>
      </w:pPr>
      <w:r>
        <w:rPr>
          <w:b/>
          <w:sz w:val="28"/>
          <w:szCs w:val="28"/>
        </w:rPr>
        <w:tab/>
        <w:t>3. Chế độ thông tin, báo cáo:</w:t>
      </w:r>
    </w:p>
    <w:p w:rsidR="00A343E1" w:rsidRDefault="00A343E1" w:rsidP="00A343E1">
      <w:pPr>
        <w:spacing w:after="120"/>
        <w:jc w:val="both"/>
        <w:rPr>
          <w:sz w:val="28"/>
          <w:szCs w:val="28"/>
        </w:rPr>
      </w:pPr>
      <w:r>
        <w:rPr>
          <w:sz w:val="28"/>
          <w:szCs w:val="28"/>
        </w:rPr>
        <w:tab/>
        <w:t xml:space="preserve"> Hội CCB các huyện, thành phố và khối 487 tổng hợp báo cáo kết quả về Hội CCB tỉnh trước </w:t>
      </w:r>
      <w:r>
        <w:rPr>
          <w:b/>
          <w:sz w:val="28"/>
          <w:szCs w:val="28"/>
        </w:rPr>
        <w:t>ngày 20/5/2020</w:t>
      </w:r>
      <w:r>
        <w:rPr>
          <w:sz w:val="28"/>
          <w:szCs w:val="28"/>
        </w:rPr>
        <w:t xml:space="preserve"> (đối với báo cáo sơ kết 6 tháng) và trước </w:t>
      </w:r>
      <w:r>
        <w:rPr>
          <w:b/>
          <w:sz w:val="28"/>
          <w:szCs w:val="28"/>
        </w:rPr>
        <w:t>ngày 10/11/2020</w:t>
      </w:r>
      <w:r>
        <w:rPr>
          <w:sz w:val="28"/>
          <w:szCs w:val="28"/>
        </w:rPr>
        <w:t xml:space="preserve"> (đối với báo cáo tổng kết năm)</w:t>
      </w:r>
    </w:p>
    <w:p w:rsidR="00A343E1" w:rsidRDefault="00A343E1" w:rsidP="00A343E1">
      <w:pPr>
        <w:spacing w:after="120"/>
        <w:jc w:val="both"/>
        <w:rPr>
          <w:sz w:val="28"/>
          <w:szCs w:val="28"/>
        </w:rPr>
      </w:pPr>
      <w:r>
        <w:rPr>
          <w:sz w:val="28"/>
          <w:szCs w:val="28"/>
        </w:rPr>
        <w:tab/>
        <w:t>Trên đây là Kế hoạch Công tác phổ biến, giáo dục pháp luật năm 2020 của Hội CCB tỉnh Cao Bằng; yêu cầu Hội CCB các huyện, thành phố và khối 487 tổ chức thực hiện./.</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0"/>
        <w:gridCol w:w="4880"/>
      </w:tblGrid>
      <w:tr w:rsidR="00A343E1" w:rsidTr="00A343E1">
        <w:tc>
          <w:tcPr>
            <w:tcW w:w="4480" w:type="dxa"/>
          </w:tcPr>
          <w:p w:rsidR="00A343E1" w:rsidRDefault="00A343E1">
            <w:pPr>
              <w:jc w:val="both"/>
              <w:rPr>
                <w:i/>
              </w:rPr>
            </w:pPr>
            <w:r>
              <w:rPr>
                <w:i/>
                <w:sz w:val="24"/>
              </w:rPr>
              <w:t xml:space="preserve">  </w:t>
            </w:r>
            <w:r>
              <w:rPr>
                <w:b/>
                <w:bCs/>
                <w:i/>
                <w:sz w:val="24"/>
              </w:rPr>
              <w:t>Nơi nhận</w:t>
            </w:r>
            <w:r>
              <w:rPr>
                <w:i/>
                <w:sz w:val="24"/>
              </w:rPr>
              <w:t>:</w:t>
            </w:r>
            <w:r>
              <w:rPr>
                <w:i/>
              </w:rPr>
              <w:t xml:space="preserve">                                                                           </w:t>
            </w:r>
            <w:r>
              <w:rPr>
                <w:i/>
                <w:sz w:val="22"/>
                <w:szCs w:val="22"/>
              </w:rPr>
              <w:t xml:space="preserve">                                                               </w:t>
            </w:r>
          </w:p>
          <w:p w:rsidR="00A343E1" w:rsidRDefault="00A343E1">
            <w:pPr>
              <w:jc w:val="both"/>
              <w:rPr>
                <w:sz w:val="22"/>
                <w:szCs w:val="22"/>
              </w:rPr>
            </w:pPr>
            <w:r>
              <w:rPr>
                <w:sz w:val="22"/>
                <w:szCs w:val="22"/>
              </w:rPr>
              <w:t>- Sở Tư pháp; (B/c)</w:t>
            </w:r>
          </w:p>
          <w:p w:rsidR="00A343E1" w:rsidRDefault="00A343E1">
            <w:pPr>
              <w:jc w:val="both"/>
              <w:rPr>
                <w:sz w:val="22"/>
                <w:szCs w:val="22"/>
              </w:rPr>
            </w:pPr>
            <w:r>
              <w:rPr>
                <w:sz w:val="22"/>
                <w:szCs w:val="22"/>
              </w:rPr>
              <w:t>- Ban PL, Hội CCB Việt Nam; (B/c)</w:t>
            </w:r>
          </w:p>
          <w:p w:rsidR="00A343E1" w:rsidRDefault="00A343E1">
            <w:pPr>
              <w:rPr>
                <w:sz w:val="22"/>
                <w:szCs w:val="22"/>
                <w:lang w:val="vi-VN"/>
              </w:rPr>
            </w:pPr>
            <w:r>
              <w:rPr>
                <w:sz w:val="22"/>
                <w:szCs w:val="22"/>
                <w:lang w:val="vi-VN"/>
              </w:rPr>
              <w:t>- Thường trực Hội CCB tỉnh;</w:t>
            </w:r>
          </w:p>
          <w:p w:rsidR="00A343E1" w:rsidRDefault="00A343E1">
            <w:pPr>
              <w:rPr>
                <w:sz w:val="22"/>
                <w:szCs w:val="22"/>
                <w:lang w:val="vi-VN"/>
              </w:rPr>
            </w:pPr>
            <w:r>
              <w:rPr>
                <w:sz w:val="22"/>
                <w:szCs w:val="22"/>
                <w:lang w:val="vi-VN"/>
              </w:rPr>
              <w:t>- TT Hội CCB các huyện, thành phố, Khối 487;(T/h)</w:t>
            </w:r>
          </w:p>
          <w:p w:rsidR="00A343E1" w:rsidRDefault="00A343E1">
            <w:pPr>
              <w:jc w:val="both"/>
              <w:rPr>
                <w:sz w:val="22"/>
                <w:szCs w:val="22"/>
                <w:lang w:val="fr-FR"/>
              </w:rPr>
            </w:pPr>
            <w:r>
              <w:rPr>
                <w:sz w:val="22"/>
                <w:szCs w:val="22"/>
                <w:lang w:val="fr-FR"/>
              </w:rPr>
              <w:t>- 2 Ban chuyên môn ;</w:t>
            </w:r>
            <w:r>
              <w:rPr>
                <w:sz w:val="22"/>
                <w:szCs w:val="22"/>
              </w:rPr>
              <w:t xml:space="preserve">                                                             </w:t>
            </w:r>
          </w:p>
          <w:p w:rsidR="00A343E1" w:rsidRDefault="00A343E1">
            <w:pPr>
              <w:jc w:val="both"/>
              <w:rPr>
                <w:sz w:val="22"/>
                <w:szCs w:val="22"/>
                <w:lang w:val="fr-FR"/>
              </w:rPr>
            </w:pPr>
            <w:r>
              <w:rPr>
                <w:sz w:val="22"/>
                <w:szCs w:val="22"/>
                <w:lang w:val="fr-FR"/>
              </w:rPr>
              <w:t>- Lưu : VT.</w:t>
            </w:r>
          </w:p>
          <w:p w:rsidR="00A343E1" w:rsidRDefault="00A343E1">
            <w:pPr>
              <w:rPr>
                <w:sz w:val="28"/>
                <w:szCs w:val="28"/>
                <w:lang w:val="fr-FR"/>
              </w:rPr>
            </w:pPr>
          </w:p>
          <w:p w:rsidR="00A343E1" w:rsidRDefault="00A343E1">
            <w:pPr>
              <w:ind w:hanging="108"/>
              <w:rPr>
                <w:color w:val="000000"/>
                <w:spacing w:val="5"/>
                <w:sz w:val="28"/>
                <w:szCs w:val="28"/>
                <w:lang w:val="vi-VN" w:eastAsia="vi-VN"/>
              </w:rPr>
            </w:pPr>
          </w:p>
        </w:tc>
        <w:tc>
          <w:tcPr>
            <w:tcW w:w="4880" w:type="dxa"/>
          </w:tcPr>
          <w:p w:rsidR="00A343E1" w:rsidRDefault="00A343E1">
            <w:pPr>
              <w:ind w:firstLine="680"/>
              <w:jc w:val="center"/>
              <w:rPr>
                <w:b/>
              </w:rPr>
            </w:pPr>
            <w:r>
              <w:rPr>
                <w:b/>
              </w:rPr>
              <w:t>KT.CHỦ TỊCH</w:t>
            </w:r>
          </w:p>
          <w:p w:rsidR="00A343E1" w:rsidRDefault="00A343E1">
            <w:pPr>
              <w:ind w:firstLine="680"/>
              <w:jc w:val="center"/>
              <w:rPr>
                <w:b/>
                <w:color w:val="000000"/>
                <w:spacing w:val="5"/>
                <w:sz w:val="28"/>
                <w:szCs w:val="28"/>
                <w:lang w:val="vi-VN" w:eastAsia="vi-VN"/>
              </w:rPr>
            </w:pPr>
            <w:r>
              <w:rPr>
                <w:b/>
              </w:rPr>
              <w:t>PHÓ CHỦ TỊCH</w:t>
            </w:r>
          </w:p>
          <w:p w:rsidR="00A343E1" w:rsidRDefault="00A343E1">
            <w:pPr>
              <w:tabs>
                <w:tab w:val="left" w:pos="1920"/>
              </w:tabs>
              <w:ind w:firstLine="680"/>
              <w:jc w:val="center"/>
            </w:pPr>
          </w:p>
          <w:p w:rsidR="00A343E1" w:rsidRDefault="00A343E1">
            <w:pPr>
              <w:tabs>
                <w:tab w:val="left" w:pos="1920"/>
              </w:tabs>
              <w:ind w:firstLine="680"/>
              <w:jc w:val="center"/>
            </w:pPr>
          </w:p>
          <w:p w:rsidR="00A343E1" w:rsidRPr="00A343E1" w:rsidRDefault="00A343E1">
            <w:pPr>
              <w:tabs>
                <w:tab w:val="left" w:pos="1920"/>
              </w:tabs>
              <w:jc w:val="center"/>
              <w:rPr>
                <w:i/>
              </w:rPr>
            </w:pPr>
            <w:r w:rsidRPr="00A343E1">
              <w:rPr>
                <w:i/>
              </w:rPr>
              <w:t>Đã ký</w:t>
            </w:r>
          </w:p>
          <w:p w:rsidR="00A343E1" w:rsidRDefault="00A343E1">
            <w:pPr>
              <w:tabs>
                <w:tab w:val="left" w:pos="1920"/>
              </w:tabs>
              <w:jc w:val="center"/>
            </w:pPr>
          </w:p>
          <w:p w:rsidR="00A343E1" w:rsidRDefault="00A343E1">
            <w:pPr>
              <w:tabs>
                <w:tab w:val="left" w:pos="1920"/>
              </w:tabs>
              <w:rPr>
                <w:b/>
              </w:rPr>
            </w:pPr>
          </w:p>
          <w:p w:rsidR="00A343E1" w:rsidRDefault="00A343E1">
            <w:pPr>
              <w:tabs>
                <w:tab w:val="left" w:pos="1920"/>
              </w:tabs>
              <w:ind w:firstLine="680"/>
              <w:jc w:val="center"/>
              <w:rPr>
                <w:b/>
                <w:sz w:val="28"/>
                <w:szCs w:val="28"/>
              </w:rPr>
            </w:pPr>
            <w:r>
              <w:rPr>
                <w:b/>
                <w:sz w:val="28"/>
                <w:szCs w:val="28"/>
              </w:rPr>
              <w:t>Nguyễn Trung Bộ</w:t>
            </w:r>
          </w:p>
          <w:p w:rsidR="00A343E1" w:rsidRDefault="00A343E1">
            <w:pPr>
              <w:tabs>
                <w:tab w:val="left" w:pos="1920"/>
              </w:tabs>
              <w:ind w:firstLine="680"/>
              <w:jc w:val="center"/>
              <w:rPr>
                <w:color w:val="000000"/>
                <w:spacing w:val="5"/>
                <w:sz w:val="28"/>
                <w:szCs w:val="28"/>
                <w:lang w:val="vi-VN" w:eastAsia="vi-VN"/>
              </w:rPr>
            </w:pPr>
          </w:p>
        </w:tc>
      </w:tr>
    </w:tbl>
    <w:p w:rsidR="00A343E1" w:rsidRDefault="00A343E1" w:rsidP="00A343E1">
      <w:bookmarkStart w:id="0" w:name="_GoBack"/>
      <w:bookmarkEnd w:id="0"/>
    </w:p>
    <w:p w:rsidR="00D5750E" w:rsidRDefault="00D5750E"/>
    <w:sectPr w:rsidR="00D5750E" w:rsidSect="00A343E1">
      <w:footerReference w:type="default" r:id="rId7"/>
      <w:pgSz w:w="12240" w:h="15840"/>
      <w:pgMar w:top="1135" w:right="1041" w:bottom="1135" w:left="1440" w:header="72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EA" w:rsidRDefault="00BA4AEA" w:rsidP="00A343E1">
      <w:r>
        <w:separator/>
      </w:r>
    </w:p>
  </w:endnote>
  <w:endnote w:type="continuationSeparator" w:id="0">
    <w:p w:rsidR="00BA4AEA" w:rsidRDefault="00BA4AEA" w:rsidP="00A3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70707"/>
      <w:docPartObj>
        <w:docPartGallery w:val="Page Numbers (Bottom of Page)"/>
        <w:docPartUnique/>
      </w:docPartObj>
    </w:sdtPr>
    <w:sdtEndPr>
      <w:rPr>
        <w:noProof/>
      </w:rPr>
    </w:sdtEndPr>
    <w:sdtContent>
      <w:p w:rsidR="00A343E1" w:rsidRDefault="00A343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343E1" w:rsidRDefault="00A3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EA" w:rsidRDefault="00BA4AEA" w:rsidP="00A343E1">
      <w:r>
        <w:separator/>
      </w:r>
    </w:p>
  </w:footnote>
  <w:footnote w:type="continuationSeparator" w:id="0">
    <w:p w:rsidR="00BA4AEA" w:rsidRDefault="00BA4AEA" w:rsidP="00A3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E1"/>
    <w:rsid w:val="00A343E1"/>
    <w:rsid w:val="00BA4AEA"/>
    <w:rsid w:val="00D5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E1"/>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3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3E1"/>
    <w:pPr>
      <w:tabs>
        <w:tab w:val="center" w:pos="4680"/>
        <w:tab w:val="right" w:pos="9360"/>
      </w:tabs>
    </w:pPr>
  </w:style>
  <w:style w:type="character" w:customStyle="1" w:styleId="HeaderChar">
    <w:name w:val="Header Char"/>
    <w:basedOn w:val="DefaultParagraphFont"/>
    <w:link w:val="Header"/>
    <w:uiPriority w:val="99"/>
    <w:rsid w:val="00A343E1"/>
    <w:rPr>
      <w:rFonts w:eastAsia="Times New Roman" w:cs="Times New Roman"/>
      <w:sz w:val="26"/>
      <w:szCs w:val="24"/>
    </w:rPr>
  </w:style>
  <w:style w:type="paragraph" w:styleId="Footer">
    <w:name w:val="footer"/>
    <w:basedOn w:val="Normal"/>
    <w:link w:val="FooterChar"/>
    <w:uiPriority w:val="99"/>
    <w:unhideWhenUsed/>
    <w:rsid w:val="00A343E1"/>
    <w:pPr>
      <w:tabs>
        <w:tab w:val="center" w:pos="4680"/>
        <w:tab w:val="right" w:pos="9360"/>
      </w:tabs>
    </w:pPr>
  </w:style>
  <w:style w:type="character" w:customStyle="1" w:styleId="FooterChar">
    <w:name w:val="Footer Char"/>
    <w:basedOn w:val="DefaultParagraphFont"/>
    <w:link w:val="Footer"/>
    <w:uiPriority w:val="99"/>
    <w:rsid w:val="00A343E1"/>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E1"/>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3E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3E1"/>
    <w:pPr>
      <w:tabs>
        <w:tab w:val="center" w:pos="4680"/>
        <w:tab w:val="right" w:pos="9360"/>
      </w:tabs>
    </w:pPr>
  </w:style>
  <w:style w:type="character" w:customStyle="1" w:styleId="HeaderChar">
    <w:name w:val="Header Char"/>
    <w:basedOn w:val="DefaultParagraphFont"/>
    <w:link w:val="Header"/>
    <w:uiPriority w:val="99"/>
    <w:rsid w:val="00A343E1"/>
    <w:rPr>
      <w:rFonts w:eastAsia="Times New Roman" w:cs="Times New Roman"/>
      <w:sz w:val="26"/>
      <w:szCs w:val="24"/>
    </w:rPr>
  </w:style>
  <w:style w:type="paragraph" w:styleId="Footer">
    <w:name w:val="footer"/>
    <w:basedOn w:val="Normal"/>
    <w:link w:val="FooterChar"/>
    <w:uiPriority w:val="99"/>
    <w:unhideWhenUsed/>
    <w:rsid w:val="00A343E1"/>
    <w:pPr>
      <w:tabs>
        <w:tab w:val="center" w:pos="4680"/>
        <w:tab w:val="right" w:pos="9360"/>
      </w:tabs>
    </w:pPr>
  </w:style>
  <w:style w:type="character" w:customStyle="1" w:styleId="FooterChar">
    <w:name w:val="Footer Char"/>
    <w:basedOn w:val="DefaultParagraphFont"/>
    <w:link w:val="Footer"/>
    <w:uiPriority w:val="99"/>
    <w:rsid w:val="00A343E1"/>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2020-02-13T03:23:00Z</dcterms:created>
  <dcterms:modified xsi:type="dcterms:W3CDTF">2020-02-13T03:25:00Z</dcterms:modified>
</cp:coreProperties>
</file>